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5F50" w:rsidRPr="00F75F50" w:rsidRDefault="00F75F50" w:rsidP="00F75F50">
      <w:pPr>
        <w:jc w:val="center"/>
        <w:rPr>
          <w:rFonts w:ascii="Calibri" w:hAnsi="Calibri"/>
          <w:b/>
          <w:sz w:val="56"/>
          <w:szCs w:val="56"/>
        </w:rPr>
      </w:pPr>
      <w:bookmarkStart w:id="0" w:name="_GoBack"/>
      <w:bookmarkEnd w:id="0"/>
      <w:r w:rsidRPr="00F75F50">
        <w:rPr>
          <w:rFonts w:ascii="Calibri" w:hAnsi="Calibri"/>
          <w:b/>
          <w:sz w:val="56"/>
          <w:szCs w:val="56"/>
        </w:rPr>
        <w:t>Cofinity Claims Migration</w:t>
      </w:r>
    </w:p>
    <w:tbl>
      <w:tblPr>
        <w:tblW w:w="13120" w:type="dxa"/>
        <w:tblCellMar>
          <w:left w:w="0" w:type="dxa"/>
          <w:right w:w="0" w:type="dxa"/>
        </w:tblCellMar>
        <w:tblLook w:val="04A0" w:firstRow="1" w:lastRow="0" w:firstColumn="1" w:lastColumn="0" w:noHBand="0" w:noVBand="1"/>
      </w:tblPr>
      <w:tblGrid>
        <w:gridCol w:w="13120"/>
      </w:tblGrid>
      <w:tr w:rsidR="00F75F50" w:rsidRPr="00F75F50" w:rsidTr="00F75F50">
        <w:trPr>
          <w:trHeight w:val="3349"/>
        </w:trPr>
        <w:tc>
          <w:tcPr>
            <w:tcW w:w="13120" w:type="dxa"/>
            <w:tcBorders>
              <w:top w:val="nil"/>
              <w:left w:val="nil"/>
              <w:bottom w:val="nil"/>
              <w:right w:val="nil"/>
            </w:tcBorders>
            <w:shd w:val="clear" w:color="auto" w:fill="auto"/>
            <w:tcMar>
              <w:top w:w="15" w:type="dxa"/>
              <w:left w:w="15" w:type="dxa"/>
              <w:bottom w:w="0" w:type="dxa"/>
              <w:right w:w="15" w:type="dxa"/>
            </w:tcMar>
            <w:hideMark/>
          </w:tcPr>
          <w:p w:rsidR="00F75F50" w:rsidRPr="00F75F50" w:rsidRDefault="00F75F50" w:rsidP="00F75F50">
            <w:pPr>
              <w:spacing w:after="0"/>
              <w:rPr>
                <w:rFonts w:ascii="Arial" w:eastAsia="Times New Roman" w:hAnsi="Arial" w:cs="Arial"/>
                <w:sz w:val="36"/>
                <w:szCs w:val="36"/>
              </w:rPr>
            </w:pPr>
            <w:r w:rsidRPr="00F75F50">
              <w:rPr>
                <w:rFonts w:ascii="Times New Roman" w:eastAsia="Times New Roman" w:hAnsi="Times New Roman" w:cs="Calibri"/>
                <w:b/>
                <w:bCs/>
                <w:color w:val="0079C1"/>
                <w:kern w:val="24"/>
                <w:sz w:val="36"/>
                <w:szCs w:val="36"/>
              </w:rPr>
              <w:t>As part of our ongoing efforts to improve efficiency and better serve our providers, clients and members, we’re consolidating our claims repricing and provider data platforms. The work needed to transition our data and processes is already underway and will conclude on December 31, 2019.</w:t>
            </w:r>
          </w:p>
          <w:p w:rsidR="00F75F50" w:rsidRDefault="00F75F50" w:rsidP="00F75F50">
            <w:pPr>
              <w:spacing w:after="0"/>
              <w:rPr>
                <w:rFonts w:ascii="Times New Roman" w:eastAsia="Times New Roman" w:hAnsi="Times New Roman" w:cs="Calibri"/>
                <w:b/>
                <w:bCs/>
                <w:color w:val="000000" w:themeColor="text1"/>
                <w:kern w:val="24"/>
                <w:sz w:val="32"/>
                <w:szCs w:val="32"/>
              </w:rPr>
            </w:pPr>
          </w:p>
          <w:p w:rsidR="00F75F50" w:rsidRPr="00F75F50" w:rsidRDefault="00F75F50" w:rsidP="00F75F50">
            <w:pPr>
              <w:spacing w:after="0"/>
              <w:rPr>
                <w:rFonts w:ascii="Arial" w:eastAsia="Times New Roman" w:hAnsi="Arial" w:cs="Arial"/>
                <w:sz w:val="36"/>
                <w:szCs w:val="36"/>
              </w:rPr>
            </w:pPr>
            <w:r w:rsidRPr="00F75F50">
              <w:rPr>
                <w:rFonts w:ascii="Times New Roman" w:eastAsia="Times New Roman" w:hAnsi="Times New Roman" w:cs="Calibri"/>
                <w:b/>
                <w:bCs/>
                <w:color w:val="000000" w:themeColor="text1"/>
                <w:kern w:val="24"/>
                <w:sz w:val="32"/>
                <w:szCs w:val="32"/>
              </w:rPr>
              <w:t>New claim submission workflow</w:t>
            </w:r>
            <w:r w:rsidRPr="00F75F50">
              <w:rPr>
                <w:rFonts w:ascii="Times New Roman" w:eastAsia="Times New Roman" w:hAnsi="Times New Roman" w:cs="Calibri"/>
                <w:color w:val="000000" w:themeColor="text1"/>
                <w:kern w:val="24"/>
                <w:sz w:val="32"/>
                <w:szCs w:val="32"/>
              </w:rPr>
              <w:t xml:space="preserve"> </w:t>
            </w:r>
          </w:p>
          <w:p w:rsidR="00F75F50" w:rsidRPr="00F75F50" w:rsidRDefault="00F75F50" w:rsidP="00F75F50">
            <w:pPr>
              <w:spacing w:after="0"/>
              <w:rPr>
                <w:rFonts w:ascii="Arial" w:eastAsia="Times New Roman" w:hAnsi="Arial" w:cs="Arial"/>
                <w:sz w:val="36"/>
                <w:szCs w:val="36"/>
              </w:rPr>
            </w:pPr>
            <w:r w:rsidRPr="00F75F50">
              <w:rPr>
                <w:rFonts w:ascii="Times New Roman" w:eastAsia="Times New Roman" w:hAnsi="Times New Roman" w:cs="Calibri"/>
                <w:color w:val="000000" w:themeColor="text1"/>
                <w:kern w:val="24"/>
                <w:sz w:val="32"/>
                <w:szCs w:val="32"/>
              </w:rPr>
              <w:t xml:space="preserve">The change in claims repricing platform requires a change to the traditional Cofinity claim workflow. In the new workflow, you’ll submit claims to the payer, instead of directly to Cofinity. Payers are being migrated to the new claim flow between now and July 1, 2019. As payers migrate, they’ll issue new member ID cards that will include the following information: </w:t>
            </w:r>
          </w:p>
        </w:tc>
      </w:tr>
      <w:tr w:rsidR="00F75F50" w:rsidRPr="00F75F50" w:rsidTr="00F75F50">
        <w:trPr>
          <w:trHeight w:val="1472"/>
        </w:trPr>
        <w:tc>
          <w:tcPr>
            <w:tcW w:w="13120" w:type="dxa"/>
            <w:tcBorders>
              <w:top w:val="nil"/>
              <w:left w:val="nil"/>
              <w:bottom w:val="nil"/>
              <w:right w:val="nil"/>
            </w:tcBorders>
            <w:shd w:val="clear" w:color="auto" w:fill="auto"/>
            <w:tcMar>
              <w:top w:w="15" w:type="dxa"/>
              <w:left w:w="15" w:type="dxa"/>
              <w:bottom w:w="0" w:type="dxa"/>
              <w:right w:w="15" w:type="dxa"/>
            </w:tcMar>
            <w:vAlign w:val="center"/>
            <w:hideMark/>
          </w:tcPr>
          <w:p w:rsidR="00F75F50" w:rsidRPr="00F75F50" w:rsidRDefault="00F75F50" w:rsidP="00F75F50">
            <w:pPr>
              <w:numPr>
                <w:ilvl w:val="0"/>
                <w:numId w:val="1"/>
              </w:numPr>
              <w:tabs>
                <w:tab w:val="left" w:pos="720"/>
              </w:tabs>
              <w:spacing w:after="0"/>
              <w:contextualSpacing/>
              <w:rPr>
                <w:rFonts w:ascii="Arial" w:eastAsia="Times New Roman" w:hAnsi="Arial" w:cs="Arial"/>
                <w:sz w:val="20"/>
                <w:szCs w:val="36"/>
              </w:rPr>
            </w:pPr>
            <w:r w:rsidRPr="00F75F50">
              <w:rPr>
                <w:rFonts w:ascii="Times New Roman" w:eastAsia="Times New Roman" w:hAnsi="Times New Roman" w:cs="Times New Roman"/>
                <w:color w:val="000000" w:themeColor="text1"/>
                <w:kern w:val="24"/>
                <w:sz w:val="32"/>
                <w:szCs w:val="32"/>
              </w:rPr>
              <w:t xml:space="preserve">The payer’s electronic payer ID </w:t>
            </w:r>
          </w:p>
          <w:p w:rsidR="00F75F50" w:rsidRPr="00F75F50" w:rsidRDefault="00F75F50" w:rsidP="00F75F50">
            <w:pPr>
              <w:numPr>
                <w:ilvl w:val="0"/>
                <w:numId w:val="1"/>
              </w:numPr>
              <w:tabs>
                <w:tab w:val="left" w:pos="720"/>
              </w:tabs>
              <w:spacing w:after="0"/>
              <w:contextualSpacing/>
              <w:rPr>
                <w:rFonts w:ascii="Arial" w:eastAsia="Times New Roman" w:hAnsi="Arial" w:cs="Arial"/>
                <w:sz w:val="20"/>
                <w:szCs w:val="36"/>
              </w:rPr>
            </w:pPr>
            <w:r w:rsidRPr="00F75F50">
              <w:rPr>
                <w:rFonts w:ascii="Times New Roman" w:eastAsia="Times New Roman" w:hAnsi="Times New Roman" w:cs="Times New Roman"/>
                <w:color w:val="000000" w:themeColor="text1"/>
                <w:kern w:val="24"/>
                <w:sz w:val="32"/>
                <w:szCs w:val="32"/>
              </w:rPr>
              <w:t xml:space="preserve">The mailing address for non-electronic claims </w:t>
            </w:r>
          </w:p>
        </w:tc>
      </w:tr>
      <w:tr w:rsidR="00F75F50" w:rsidRPr="00F75F50" w:rsidTr="00F75F50">
        <w:trPr>
          <w:trHeight w:val="2208"/>
        </w:trPr>
        <w:tc>
          <w:tcPr>
            <w:tcW w:w="13120" w:type="dxa"/>
            <w:tcBorders>
              <w:top w:val="nil"/>
              <w:left w:val="nil"/>
              <w:bottom w:val="nil"/>
              <w:right w:val="nil"/>
            </w:tcBorders>
            <w:shd w:val="clear" w:color="auto" w:fill="auto"/>
            <w:tcMar>
              <w:top w:w="15" w:type="dxa"/>
              <w:left w:w="15" w:type="dxa"/>
              <w:bottom w:w="0" w:type="dxa"/>
              <w:right w:w="15" w:type="dxa"/>
            </w:tcMar>
            <w:vAlign w:val="center"/>
            <w:hideMark/>
          </w:tcPr>
          <w:p w:rsidR="00F75F50" w:rsidRPr="00F75F50" w:rsidRDefault="00F75F50" w:rsidP="00F75F50">
            <w:pPr>
              <w:spacing w:after="0"/>
              <w:rPr>
                <w:rFonts w:ascii="Arial" w:eastAsia="Times New Roman" w:hAnsi="Arial" w:cs="Arial"/>
                <w:sz w:val="32"/>
                <w:szCs w:val="32"/>
              </w:rPr>
            </w:pPr>
            <w:r w:rsidRPr="00F75F50">
              <w:rPr>
                <w:rFonts w:ascii="Times New Roman" w:eastAsia="Times New Roman" w:hAnsi="Times New Roman" w:cs="Calibri"/>
                <w:b/>
                <w:bCs/>
                <w:color w:val="000000" w:themeColor="text1"/>
                <w:kern w:val="24"/>
                <w:sz w:val="32"/>
                <w:szCs w:val="32"/>
              </w:rPr>
              <w:t>Check your patient’s member ID card for the electronic payer ID</w:t>
            </w:r>
          </w:p>
          <w:p w:rsidR="00F75F50" w:rsidRDefault="00F75F50" w:rsidP="00F75F50">
            <w:pPr>
              <w:spacing w:after="0"/>
              <w:rPr>
                <w:rFonts w:ascii="Times New Roman" w:eastAsia="Times New Roman" w:hAnsi="Times New Roman" w:cs="Calibri"/>
                <w:color w:val="000000" w:themeColor="text1"/>
                <w:kern w:val="24"/>
                <w:sz w:val="32"/>
                <w:szCs w:val="32"/>
              </w:rPr>
            </w:pPr>
            <w:r w:rsidRPr="00F75F50">
              <w:rPr>
                <w:rFonts w:ascii="Times New Roman" w:eastAsia="Times New Roman" w:hAnsi="Times New Roman" w:cs="Calibri"/>
                <w:color w:val="000000" w:themeColor="text1"/>
                <w:kern w:val="24"/>
                <w:sz w:val="32"/>
                <w:szCs w:val="32"/>
              </w:rPr>
              <w:t>It’s important that you check each patient’s member ID card so that you send Cofinity claims to the correct electronic payer ID. Sending a claim to the wrong place will result in a delay in the processing of that claim.</w:t>
            </w:r>
          </w:p>
          <w:p w:rsidR="00F75F50" w:rsidRPr="00F75F50" w:rsidRDefault="00F75F50" w:rsidP="00F75F50">
            <w:pPr>
              <w:spacing w:after="0"/>
              <w:jc w:val="center"/>
              <w:rPr>
                <w:rFonts w:ascii="Arial" w:eastAsia="Times New Roman" w:hAnsi="Arial" w:cs="Arial"/>
                <w:sz w:val="36"/>
                <w:szCs w:val="36"/>
              </w:rPr>
            </w:pPr>
          </w:p>
        </w:tc>
      </w:tr>
    </w:tbl>
    <w:p w:rsidR="00F75F50" w:rsidRDefault="00F75F50" w:rsidP="00F75F50">
      <w:pPr>
        <w:spacing w:after="0" w:line="240" w:lineRule="auto"/>
        <w:jc w:val="center"/>
        <w:rPr>
          <w:b/>
          <w:bCs/>
          <w:sz w:val="36"/>
          <w:szCs w:val="36"/>
        </w:rPr>
      </w:pPr>
    </w:p>
    <w:p w:rsidR="00F75F50" w:rsidRPr="00F75F50" w:rsidRDefault="00F75F50" w:rsidP="00F75F50">
      <w:pPr>
        <w:spacing w:after="0" w:line="240" w:lineRule="auto"/>
        <w:jc w:val="center"/>
        <w:rPr>
          <w:sz w:val="36"/>
          <w:szCs w:val="36"/>
        </w:rPr>
      </w:pPr>
      <w:r w:rsidRPr="00F75F50">
        <w:rPr>
          <w:rFonts w:hint="eastAsia"/>
          <w:b/>
          <w:bCs/>
          <w:sz w:val="36"/>
          <w:szCs w:val="36"/>
        </w:rPr>
        <w:t>Cofinity Customer Service</w:t>
      </w:r>
    </w:p>
    <w:p w:rsidR="00F75F50" w:rsidRPr="00F75F50" w:rsidRDefault="00F75F50" w:rsidP="00F75F50">
      <w:pPr>
        <w:spacing w:after="0" w:line="240" w:lineRule="auto"/>
        <w:jc w:val="center"/>
        <w:rPr>
          <w:sz w:val="36"/>
          <w:szCs w:val="36"/>
        </w:rPr>
      </w:pPr>
      <w:r w:rsidRPr="00F75F50">
        <w:rPr>
          <w:rFonts w:hint="eastAsia"/>
          <w:b/>
          <w:bCs/>
          <w:sz w:val="36"/>
          <w:szCs w:val="36"/>
        </w:rPr>
        <w:t>1-800-831-1166</w:t>
      </w:r>
    </w:p>
    <w:p w:rsidR="00433F0D" w:rsidRDefault="00762190"/>
    <w:sectPr w:rsidR="00433F0D" w:rsidSect="00F75F50">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153430"/>
    <w:multiLevelType w:val="hybridMultilevel"/>
    <w:tmpl w:val="9A262358"/>
    <w:lvl w:ilvl="0" w:tplc="43964BE6">
      <w:start w:val="1"/>
      <w:numFmt w:val="bullet"/>
      <w:lvlText w:val="o"/>
      <w:lvlJc w:val="left"/>
      <w:pPr>
        <w:tabs>
          <w:tab w:val="num" w:pos="720"/>
        </w:tabs>
        <w:ind w:left="720" w:hanging="360"/>
      </w:pPr>
      <w:rPr>
        <w:rFonts w:ascii="Courier New" w:hAnsi="Courier New" w:hint="default"/>
      </w:rPr>
    </w:lvl>
    <w:lvl w:ilvl="1" w:tplc="3CC6E276">
      <w:start w:val="1"/>
      <w:numFmt w:val="bullet"/>
      <w:lvlText w:val="o"/>
      <w:lvlJc w:val="left"/>
      <w:pPr>
        <w:tabs>
          <w:tab w:val="num" w:pos="1440"/>
        </w:tabs>
        <w:ind w:left="1440" w:hanging="360"/>
      </w:pPr>
      <w:rPr>
        <w:rFonts w:ascii="Courier New" w:hAnsi="Courier New" w:hint="default"/>
      </w:rPr>
    </w:lvl>
    <w:lvl w:ilvl="2" w:tplc="5D0C3268" w:tentative="1">
      <w:start w:val="1"/>
      <w:numFmt w:val="bullet"/>
      <w:lvlText w:val="o"/>
      <w:lvlJc w:val="left"/>
      <w:pPr>
        <w:tabs>
          <w:tab w:val="num" w:pos="2160"/>
        </w:tabs>
        <w:ind w:left="2160" w:hanging="360"/>
      </w:pPr>
      <w:rPr>
        <w:rFonts w:ascii="Courier New" w:hAnsi="Courier New" w:hint="default"/>
      </w:rPr>
    </w:lvl>
    <w:lvl w:ilvl="3" w:tplc="1B32D65A" w:tentative="1">
      <w:start w:val="1"/>
      <w:numFmt w:val="bullet"/>
      <w:lvlText w:val="o"/>
      <w:lvlJc w:val="left"/>
      <w:pPr>
        <w:tabs>
          <w:tab w:val="num" w:pos="2880"/>
        </w:tabs>
        <w:ind w:left="2880" w:hanging="360"/>
      </w:pPr>
      <w:rPr>
        <w:rFonts w:ascii="Courier New" w:hAnsi="Courier New" w:hint="default"/>
      </w:rPr>
    </w:lvl>
    <w:lvl w:ilvl="4" w:tplc="F8346DE2" w:tentative="1">
      <w:start w:val="1"/>
      <w:numFmt w:val="bullet"/>
      <w:lvlText w:val="o"/>
      <w:lvlJc w:val="left"/>
      <w:pPr>
        <w:tabs>
          <w:tab w:val="num" w:pos="3600"/>
        </w:tabs>
        <w:ind w:left="3600" w:hanging="360"/>
      </w:pPr>
      <w:rPr>
        <w:rFonts w:ascii="Courier New" w:hAnsi="Courier New" w:hint="default"/>
      </w:rPr>
    </w:lvl>
    <w:lvl w:ilvl="5" w:tplc="F08015CC" w:tentative="1">
      <w:start w:val="1"/>
      <w:numFmt w:val="bullet"/>
      <w:lvlText w:val="o"/>
      <w:lvlJc w:val="left"/>
      <w:pPr>
        <w:tabs>
          <w:tab w:val="num" w:pos="4320"/>
        </w:tabs>
        <w:ind w:left="4320" w:hanging="360"/>
      </w:pPr>
      <w:rPr>
        <w:rFonts w:ascii="Courier New" w:hAnsi="Courier New" w:hint="default"/>
      </w:rPr>
    </w:lvl>
    <w:lvl w:ilvl="6" w:tplc="A16E7710" w:tentative="1">
      <w:start w:val="1"/>
      <w:numFmt w:val="bullet"/>
      <w:lvlText w:val="o"/>
      <w:lvlJc w:val="left"/>
      <w:pPr>
        <w:tabs>
          <w:tab w:val="num" w:pos="5040"/>
        </w:tabs>
        <w:ind w:left="5040" w:hanging="360"/>
      </w:pPr>
      <w:rPr>
        <w:rFonts w:ascii="Courier New" w:hAnsi="Courier New" w:hint="default"/>
      </w:rPr>
    </w:lvl>
    <w:lvl w:ilvl="7" w:tplc="35569ADA" w:tentative="1">
      <w:start w:val="1"/>
      <w:numFmt w:val="bullet"/>
      <w:lvlText w:val="o"/>
      <w:lvlJc w:val="left"/>
      <w:pPr>
        <w:tabs>
          <w:tab w:val="num" w:pos="5760"/>
        </w:tabs>
        <w:ind w:left="5760" w:hanging="360"/>
      </w:pPr>
      <w:rPr>
        <w:rFonts w:ascii="Courier New" w:hAnsi="Courier New" w:hint="default"/>
      </w:rPr>
    </w:lvl>
    <w:lvl w:ilvl="8" w:tplc="227E7E60" w:tentative="1">
      <w:start w:val="1"/>
      <w:numFmt w:val="bullet"/>
      <w:lvlText w:val="o"/>
      <w:lvlJc w:val="left"/>
      <w:pPr>
        <w:tabs>
          <w:tab w:val="num" w:pos="6480"/>
        </w:tabs>
        <w:ind w:left="6480" w:hanging="360"/>
      </w:pPr>
      <w:rPr>
        <w:rFonts w:ascii="Courier New" w:hAnsi="Courier New"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F50"/>
    <w:rsid w:val="00012003"/>
    <w:rsid w:val="00762190"/>
    <w:rsid w:val="007A5FD2"/>
    <w:rsid w:val="008D72B2"/>
    <w:rsid w:val="00D114F7"/>
    <w:rsid w:val="00F75F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C34621-94E9-444C-87DB-F65D8FB9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75F5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F75F50"/>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7795867">
      <w:bodyDiv w:val="1"/>
      <w:marLeft w:val="0"/>
      <w:marRight w:val="0"/>
      <w:marTop w:val="0"/>
      <w:marBottom w:val="0"/>
      <w:divBdr>
        <w:top w:val="none" w:sz="0" w:space="0" w:color="auto"/>
        <w:left w:val="none" w:sz="0" w:space="0" w:color="auto"/>
        <w:bottom w:val="none" w:sz="0" w:space="0" w:color="auto"/>
        <w:right w:val="none" w:sz="0" w:space="0" w:color="auto"/>
      </w:divBdr>
    </w:div>
    <w:div w:id="2019502773">
      <w:bodyDiv w:val="1"/>
      <w:marLeft w:val="0"/>
      <w:marRight w:val="0"/>
      <w:marTop w:val="0"/>
      <w:marBottom w:val="0"/>
      <w:divBdr>
        <w:top w:val="none" w:sz="0" w:space="0" w:color="auto"/>
        <w:left w:val="none" w:sz="0" w:space="0" w:color="auto"/>
        <w:bottom w:val="none" w:sz="0" w:space="0" w:color="auto"/>
        <w:right w:val="none" w:sz="0" w:space="0" w:color="auto"/>
      </w:divBdr>
      <w:divsChild>
        <w:div w:id="43717918">
          <w:marLeft w:val="1267"/>
          <w:marRight w:val="0"/>
          <w:marTop w:val="0"/>
          <w:marBottom w:val="0"/>
          <w:divBdr>
            <w:top w:val="none" w:sz="0" w:space="0" w:color="auto"/>
            <w:left w:val="none" w:sz="0" w:space="0" w:color="auto"/>
            <w:bottom w:val="none" w:sz="0" w:space="0" w:color="auto"/>
            <w:right w:val="none" w:sz="0" w:space="0" w:color="auto"/>
          </w:divBdr>
        </w:div>
        <w:div w:id="1602488626">
          <w:marLeft w:val="126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168</Words>
  <Characters>958</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Aetna</Company>
  <LinksUpToDate>false</LinksUpToDate>
  <CharactersWithSpaces>1124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Kiley Radel</dc:creator>
  <cp:lastModifiedBy>Jennifer Gamble</cp:lastModifiedBy>
  <cp:revision>2</cp:revision>
  <cp:lastPrinted>2019-04-29T11:09:00Z</cp:lastPrinted>
  <dcterms:created xsi:type="dcterms:W3CDTF">2019-05-23T00:14:00Z</dcterms:created>
  <dcterms:modified xsi:type="dcterms:W3CDTF">2019-05-23T00:14:00Z</dcterms:modified>
</cp:coreProperties>
</file>